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CD" w:rsidRPr="00DF08CD" w:rsidRDefault="00DF08CD" w:rsidP="00DF08CD">
      <w:pPr>
        <w:ind w:left="1045" w:firstLine="709"/>
        <w:jc w:val="center"/>
        <w:rPr>
          <w:rFonts w:ascii="Arial Black" w:hAnsi="Arial Black"/>
          <w:spacing w:val="-35"/>
          <w:kern w:val="28"/>
          <w:sz w:val="44"/>
        </w:rPr>
      </w:pPr>
      <w:r w:rsidRPr="00DF08CD">
        <w:rPr>
          <w:rFonts w:ascii="Arial Black" w:hAnsi="Arial Black"/>
          <w:spacing w:val="-35"/>
          <w:kern w:val="28"/>
          <w:sz w:val="44"/>
          <w:lang w:val="uz-Latn-UZ"/>
        </w:rPr>
        <w:t>Kompaniyaning asosiy prognoz ko'rsatkichlari va kompaniyaning 2022 yilgi faoliyati yo'nalishlari</w:t>
      </w:r>
    </w:p>
    <w:p w:rsidR="00812114" w:rsidRPr="001B0C36" w:rsidRDefault="00812114" w:rsidP="00DF08CD">
      <w:pPr>
        <w:ind w:left="1045" w:firstLine="709"/>
        <w:jc w:val="center"/>
        <w:rPr>
          <w:rFonts w:ascii="Garamond" w:hAnsi="Garamond" w:cs="Times New Roman"/>
          <w:sz w:val="28"/>
          <w:szCs w:val="28"/>
        </w:rPr>
      </w:pPr>
    </w:p>
    <w:p w:rsidR="00860A90" w:rsidRDefault="00860A90" w:rsidP="00812114">
      <w:pPr>
        <w:spacing w:before="60"/>
        <w:ind w:left="993" w:firstLine="709"/>
        <w:jc w:val="both"/>
        <w:rPr>
          <w:rFonts w:ascii="Garamond" w:hAnsi="Garamond" w:cs="Times New Roman"/>
          <w:sz w:val="28"/>
          <w:szCs w:val="28"/>
        </w:rPr>
      </w:pPr>
      <w:r w:rsidRPr="00860A90">
        <w:rPr>
          <w:rFonts w:ascii="Garamond" w:hAnsi="Garamond" w:cs="Times New Roman"/>
          <w:sz w:val="28"/>
          <w:szCs w:val="28"/>
        </w:rPr>
        <w:t xml:space="preserve">2016-yildan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boshlab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korxona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paxta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tolasi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va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boshqa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turdagi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paxta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bo‘lmagan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mahsulotlarni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eksport</w:t>
      </w:r>
      <w:proofErr w:type="spellEnd"/>
      <w:r w:rsidRPr="00860A9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</w:rPr>
        <w:t>qilmaydi</w:t>
      </w:r>
      <w:proofErr w:type="spellEnd"/>
      <w:r w:rsidRPr="00860A90">
        <w:rPr>
          <w:rFonts w:ascii="Garamond" w:hAnsi="Garamond" w:cs="Times New Roman"/>
          <w:sz w:val="28"/>
          <w:szCs w:val="28"/>
        </w:rPr>
        <w:t>.</w:t>
      </w:r>
    </w:p>
    <w:p w:rsidR="00860A90" w:rsidRDefault="00860A90" w:rsidP="00812114">
      <w:pPr>
        <w:spacing w:before="60"/>
        <w:ind w:left="993" w:firstLine="709"/>
        <w:jc w:val="both"/>
        <w:rPr>
          <w:rFonts w:ascii="Garamond" w:hAnsi="Garamond" w:cs="Times New Roman"/>
          <w:sz w:val="28"/>
          <w:szCs w:val="28"/>
          <w:lang w:val="en-US"/>
        </w:rPr>
      </w:pP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O‘zbekiston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Respublikasi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Prezidentining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2015-yil 31-dekabrdagi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qaroriga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muvofiq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>. PQ-2463-son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Tuzilmani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optimallashtirish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faoliyat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samaradorligini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yanada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oshirish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chora-tadbirlari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to‘g‘risida”gi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qarori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O‘ztreyd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AJ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tashkil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etildi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qayta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tashkil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etilgan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O‘zmarkazimpeks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AJ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O‘zinterimpeks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AJ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negizida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yangi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tashkil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etilayotgan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jamiyat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ularning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huquqlari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shartnomalari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60A90">
        <w:rPr>
          <w:rFonts w:ascii="Garamond" w:hAnsi="Garamond" w:cs="Times New Roman"/>
          <w:sz w:val="28"/>
          <w:szCs w:val="28"/>
          <w:lang w:val="en-US"/>
        </w:rPr>
        <w:t>va</w:t>
      </w:r>
      <w:proofErr w:type="spellEnd"/>
      <w:proofErr w:type="gram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shartnomalari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vorisi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hisoblanadi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0A90">
        <w:rPr>
          <w:rFonts w:ascii="Garamond" w:hAnsi="Garamond" w:cs="Times New Roman"/>
          <w:sz w:val="28"/>
          <w:szCs w:val="28"/>
          <w:lang w:val="en-US"/>
        </w:rPr>
        <w:t>majburiyatlar</w:t>
      </w:r>
      <w:proofErr w:type="spellEnd"/>
      <w:proofErr w:type="gramEnd"/>
      <w:r w:rsidRPr="00860A90">
        <w:rPr>
          <w:rFonts w:ascii="Garamond" w:hAnsi="Garamond" w:cs="Times New Roman"/>
          <w:sz w:val="28"/>
          <w:szCs w:val="28"/>
          <w:lang w:val="en-US"/>
        </w:rPr>
        <w:t>.</w:t>
      </w:r>
    </w:p>
    <w:p w:rsidR="00860A90" w:rsidRDefault="00860A90" w:rsidP="00812114">
      <w:pPr>
        <w:spacing w:before="60"/>
        <w:ind w:left="993" w:firstLine="709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860A90">
        <w:rPr>
          <w:rFonts w:ascii="Garamond" w:hAnsi="Garamond" w:cs="Times New Roman"/>
          <w:sz w:val="28"/>
          <w:szCs w:val="28"/>
          <w:lang w:val="en-US"/>
        </w:rPr>
        <w:t>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O‘ztreyd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AJning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boshlang‘ich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ustav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fondi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O‘zbekiston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Respublikasi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Prezidentining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2017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yil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26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maydagi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PQ-3009-son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qarori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bilan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tugatilayotgan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O‘zmarkazimpeks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AJ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O‘zinterimpeks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”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AJdagi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nominal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qiymatdagi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davlat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ulushlarini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keyinchalik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baholash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bilan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o‘tkazish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yo‘li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bilan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shakllantirildi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60A90">
        <w:rPr>
          <w:rFonts w:ascii="Garamond" w:hAnsi="Garamond" w:cs="Times New Roman"/>
          <w:sz w:val="28"/>
          <w:szCs w:val="28"/>
          <w:lang w:val="en-US"/>
        </w:rPr>
        <w:t>berilgan</w:t>
      </w:r>
      <w:proofErr w:type="spellEnd"/>
      <w:proofErr w:type="gram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aksiyalarning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taxminiy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nominal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qiymati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o‘rtasidagi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farq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miqdorida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davlatga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qo‘shimcha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aksiyalar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sz w:val="28"/>
          <w:szCs w:val="28"/>
          <w:lang w:val="en-US"/>
        </w:rPr>
        <w:t>chiqarish</w:t>
      </w:r>
      <w:proofErr w:type="spellEnd"/>
      <w:r w:rsidRPr="00860A90">
        <w:rPr>
          <w:rFonts w:ascii="Garamond" w:hAnsi="Garamond" w:cs="Times New Roman"/>
          <w:sz w:val="28"/>
          <w:szCs w:val="28"/>
          <w:lang w:val="en-US"/>
        </w:rPr>
        <w:t>.</w:t>
      </w:r>
    </w:p>
    <w:p w:rsidR="00860A90" w:rsidRDefault="00860A90" w:rsidP="00812114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2022-yilda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kompaniya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qayta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tashkil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etish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bo‘yicha</w:t>
      </w:r>
      <w:proofErr w:type="spellEnd"/>
      <w:proofErr w:type="gram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ishlarni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davom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ettiradi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jumladan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kompaniya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aktivlarining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bozor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qiymatini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baholash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aksiyadorlar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yig‘ilishlarini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o‘tkazish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boshqa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tadbirlar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.</w:t>
      </w:r>
    </w:p>
    <w:p w:rsidR="00860A90" w:rsidRDefault="00860A90" w:rsidP="00812114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Jamiyatning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2022-yilda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asosiy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daromad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manbai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O‘zmarkazimpeks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” AJ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aksiyalarining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bir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qismi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egasi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bo‘lgan</w:t>
      </w:r>
      <w:proofErr w:type="spellEnd"/>
      <w:proofErr w:type="gram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aksiyadorlik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jamiyatlaridan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olingan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dividendlar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kompaniyaning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moliyaviy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va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boshqa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daromadlari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darajasida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prognoz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qilinayotgan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daromadlar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bo‘lishi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ko‘zda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>tutilgan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. </w:t>
      </w:r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1 357,7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mln.so‘m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>.</w:t>
      </w:r>
    </w:p>
    <w:p w:rsidR="00812114" w:rsidRDefault="00860A90" w:rsidP="00812114">
      <w:pPr>
        <w:ind w:left="1045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Kompaniyaning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ushbu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davrdagi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asosiy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prognoz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ko'rsatkichlari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 xml:space="preserve"> 2-jadvalda </w:t>
      </w:r>
      <w:proofErr w:type="spellStart"/>
      <w:r w:rsidRPr="00860A90">
        <w:rPr>
          <w:rFonts w:ascii="Garamond" w:hAnsi="Garamond" w:cs="Times New Roman"/>
          <w:color w:val="000000"/>
          <w:sz w:val="28"/>
          <w:szCs w:val="28"/>
        </w:rPr>
        <w:t>jamlangan</w:t>
      </w:r>
      <w:proofErr w:type="spellEnd"/>
      <w:r w:rsidRPr="00860A90">
        <w:rPr>
          <w:rFonts w:ascii="Garamond" w:hAnsi="Garamond" w:cs="Times New Roman"/>
          <w:color w:val="000000"/>
          <w:sz w:val="28"/>
          <w:szCs w:val="28"/>
        </w:rPr>
        <w:t>.</w:t>
      </w:r>
    </w:p>
    <w:p w:rsidR="00860A90" w:rsidRPr="005A6F1B" w:rsidRDefault="00860A90" w:rsidP="00812114">
      <w:pPr>
        <w:ind w:left="1045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</w:p>
    <w:tbl>
      <w:tblPr>
        <w:tblW w:w="9379" w:type="dxa"/>
        <w:tblInd w:w="392" w:type="dxa"/>
        <w:tblLook w:val="04A0" w:firstRow="1" w:lastRow="0" w:firstColumn="1" w:lastColumn="0" w:noHBand="0" w:noVBand="1"/>
      </w:tblPr>
      <w:tblGrid>
        <w:gridCol w:w="567"/>
        <w:gridCol w:w="5366"/>
        <w:gridCol w:w="1843"/>
        <w:gridCol w:w="1603"/>
      </w:tblGrid>
      <w:tr w:rsidR="00BB1B8A" w:rsidRPr="005A6F1B" w:rsidTr="00BA0ACD">
        <w:trPr>
          <w:trHeight w:val="66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B8A" w:rsidRPr="005A6F1B" w:rsidRDefault="00BB1B8A" w:rsidP="00BB1B8A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B8A" w:rsidRPr="005A6F1B" w:rsidRDefault="00BB1B8A" w:rsidP="00BB1B8A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Ism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2895" w:rsidRDefault="00BA2895" w:rsidP="00BB1B8A">
            <w:pPr>
              <w:jc w:val="center"/>
            </w:pPr>
          </w:p>
          <w:p w:rsidR="00BA2895" w:rsidRDefault="00BA2895" w:rsidP="00BB1B8A">
            <w:pPr>
              <w:jc w:val="center"/>
            </w:pPr>
          </w:p>
          <w:p w:rsidR="00BB1B8A" w:rsidRPr="00424E95" w:rsidRDefault="00BB1B8A" w:rsidP="00BB1B8A">
            <w:pPr>
              <w:jc w:val="center"/>
            </w:pPr>
            <w:proofErr w:type="spellStart"/>
            <w:r w:rsidRPr="00424E95">
              <w:t>Biznes-reja</w:t>
            </w:r>
            <w:proofErr w:type="spellEnd"/>
            <w:r w:rsidRPr="00424E95">
              <w:t xml:space="preserve">, 2022 </w:t>
            </w:r>
            <w:proofErr w:type="spellStart"/>
            <w:r w:rsidRPr="00424E95">
              <w:t>yil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B8A" w:rsidRPr="005A6F1B" w:rsidRDefault="00BB1B8A" w:rsidP="00BB1B8A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Proc</w:t>
            </w:r>
            <w:proofErr w:type="spellEnd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umumiy</w:t>
            </w:r>
            <w:proofErr w:type="spellEnd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daromaddan</w:t>
            </w:r>
            <w:proofErr w:type="spellEnd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xarajatdan</w:t>
            </w:r>
            <w:proofErr w:type="spellEnd"/>
            <w:r w:rsidRPr="00BB1B8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B1B8A" w:rsidRPr="00B651AD" w:rsidTr="00BA0ACD">
        <w:trPr>
          <w:trHeight w:val="40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:rsidR="00BB1B8A" w:rsidRPr="00B651AD" w:rsidRDefault="00BB1B8A" w:rsidP="00BB1B8A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:rsidR="00BB1B8A" w:rsidRPr="00B651AD" w:rsidRDefault="00BB1B8A" w:rsidP="00BB1B8A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8000"/>
              <w:right w:val="single" w:sz="4" w:space="0" w:color="auto"/>
            </w:tcBorders>
            <w:shd w:val="clear" w:color="auto" w:fill="auto"/>
            <w:noWrap/>
            <w:hideMark/>
          </w:tcPr>
          <w:p w:rsidR="00BB1B8A" w:rsidRDefault="00BB1B8A" w:rsidP="00BB1B8A">
            <w:pPr>
              <w:jc w:val="center"/>
            </w:pPr>
            <w:r w:rsidRPr="00424E95">
              <w:t>(</w:t>
            </w:r>
            <w:proofErr w:type="spellStart"/>
            <w:r w:rsidRPr="00424E95">
              <w:t>ming</w:t>
            </w:r>
            <w:proofErr w:type="spellEnd"/>
            <w:r w:rsidRPr="00424E95">
              <w:t xml:space="preserve"> </w:t>
            </w:r>
            <w:proofErr w:type="spellStart"/>
            <w:r w:rsidRPr="00424E95">
              <w:t>so'm</w:t>
            </w:r>
            <w:proofErr w:type="spellEnd"/>
            <w:r w:rsidRPr="00424E95">
              <w:t>)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8A" w:rsidRPr="00B651AD" w:rsidRDefault="00BB1B8A" w:rsidP="00BB1B8A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1</w:t>
            </w:r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Daromad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qismi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shu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jumladan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</w:tr>
      <w:tr w:rsidR="00812114" w:rsidRPr="00B651AD" w:rsidTr="00BA0ACD">
        <w:trPr>
          <w:trHeight w:val="5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A0ACD" w:rsidRDefault="00BA0ACD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Moliyaviy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faoliyatdan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olingan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daromadlar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  <w:lang w:val="en-US"/>
              </w:rPr>
              <w:t>daromadlar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592 800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651AD">
              <w:rPr>
                <w:rFonts w:ascii="Book Antiqua" w:hAnsi="Book Antiqua"/>
                <w:sz w:val="24"/>
                <w:szCs w:val="24"/>
              </w:rPr>
              <w:t>100,0%</w:t>
            </w: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Umumiy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daromad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 592 800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100,0%</w:t>
            </w: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Xarajatlar</w:t>
            </w:r>
            <w:proofErr w:type="spellEnd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shu</w:t>
            </w:r>
            <w:proofErr w:type="spellEnd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jumladan</w:t>
            </w:r>
            <w:proofErr w:type="spellEnd"/>
            <w:r w:rsidR="00BA0ACD"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.</w:t>
            </w: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</w:p>
        </w:tc>
      </w:tr>
      <w:tr w:rsidR="00812114" w:rsidRPr="00B651AD" w:rsidTr="00BA0ACD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Ma'muriy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xarajatlar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  <w:lang w:val="uz-Cyrl-UZ"/>
              </w:rPr>
            </w:pPr>
            <w:r>
              <w:rPr>
                <w:rFonts w:ascii="Book Antiqua" w:hAnsi="Book Antiqua"/>
                <w:sz w:val="24"/>
                <w:szCs w:val="24"/>
                <w:lang w:val="uz-Cyrl-UZ"/>
              </w:rPr>
              <w:t>280 324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48,7</w:t>
            </w:r>
            <w:r w:rsidRPr="00B651AD">
              <w:rPr>
                <w:rFonts w:ascii="Book Antiqua" w:hAnsi="Book Antiqua"/>
                <w:sz w:val="24"/>
                <w:szCs w:val="24"/>
              </w:rPr>
              <w:t>%</w:t>
            </w:r>
          </w:p>
        </w:tc>
      </w:tr>
      <w:tr w:rsidR="00812114" w:rsidRPr="00B651AD" w:rsidTr="00BA0ACD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Boshqa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operatsion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xarajatlar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  <w:lang w:val="uz-Cyrl-UZ"/>
              </w:rPr>
            </w:pPr>
            <w:r>
              <w:rPr>
                <w:rFonts w:ascii="Book Antiqua" w:hAnsi="Book Antiqua"/>
                <w:sz w:val="24"/>
                <w:szCs w:val="24"/>
                <w:lang w:val="uz-Cyrl-UZ"/>
              </w:rPr>
              <w:t>294 855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51,3</w:t>
            </w:r>
            <w:r w:rsidRPr="00B651AD">
              <w:rPr>
                <w:rFonts w:ascii="Book Antiqua" w:hAnsi="Book Antiqua"/>
                <w:sz w:val="24"/>
                <w:szCs w:val="24"/>
              </w:rPr>
              <w:t>%</w:t>
            </w:r>
          </w:p>
        </w:tc>
      </w:tr>
      <w:tr w:rsidR="00812114" w:rsidRPr="00B651AD" w:rsidTr="00BA0ACD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Moliyaviy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xarajatlar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Umumiy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xarajatlar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575 179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100%</w:t>
            </w:r>
          </w:p>
        </w:tc>
      </w:tr>
      <w:tr w:rsidR="00812114" w:rsidRPr="00B651AD" w:rsidTr="00BA0ACD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Moliyaviy</w:t>
            </w:r>
            <w:proofErr w:type="spellEnd"/>
            <w:r w:rsidRPr="00BA0ACD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sz w:val="24"/>
                <w:szCs w:val="24"/>
              </w:rPr>
              <w:t>natijalar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17 621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Sof</w:t>
            </w:r>
            <w:proofErr w:type="spellEnd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foyda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15 506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2114" w:rsidRPr="00B651AD" w:rsidTr="00BA0ACD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BA0ACD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BA0AC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Foydalilik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right="317"/>
              <w:jc w:val="righ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3,05</w:t>
            </w: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A0ACD" w:rsidRPr="00BA0ACD" w:rsidRDefault="00BA0ACD" w:rsidP="00BA0ACD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Tab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. 2. “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O‘zmarkazimpeks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”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AJning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2022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yilga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mo‘ljallangan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moliyaviy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rejasi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.</w:t>
      </w:r>
    </w:p>
    <w:p w:rsidR="00BA0ACD" w:rsidRPr="00BA0ACD" w:rsidRDefault="00BA0ACD" w:rsidP="00BA0ACD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</w:p>
    <w:p w:rsidR="002D5AB5" w:rsidRPr="00BA0ACD" w:rsidRDefault="00BA0ACD" w:rsidP="00BA0ACD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Korxonaning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kelgusi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yildagi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moliyaviy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natijasi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17</w:t>
      </w:r>
      <w:proofErr w:type="gram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,6</w:t>
      </w:r>
      <w:proofErr w:type="gram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million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so‘mni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tashkil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etishi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rejalashtirilgan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. 2022-yilda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korxona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15,5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million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so‘m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foyda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olishni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rejalashtirgan</w:t>
      </w:r>
      <w:proofErr w:type="spellEnd"/>
      <w:r w:rsidRPr="00BA0ACD">
        <w:rPr>
          <w:rFonts w:ascii="Garamond" w:hAnsi="Garamond" w:cs="Times New Roman"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sectPr w:rsidR="002D5AB5" w:rsidRPr="00BA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14"/>
    <w:rsid w:val="00796939"/>
    <w:rsid w:val="00812114"/>
    <w:rsid w:val="00860A90"/>
    <w:rsid w:val="00BA0ACD"/>
    <w:rsid w:val="00BA2895"/>
    <w:rsid w:val="00BB1B8A"/>
    <w:rsid w:val="00DF08CD"/>
    <w:rsid w:val="00E23C8B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D2B9-3CE7-4687-A6B3-9B22914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1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1990</Characters>
  <Application>Microsoft Office Word</Application>
  <DocSecurity>0</DocSecurity>
  <Lines>58</Lines>
  <Paragraphs>48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Natalya Sidikhodjaeva</cp:lastModifiedBy>
  <cp:revision>7</cp:revision>
  <dcterms:created xsi:type="dcterms:W3CDTF">2023-01-17T06:18:00Z</dcterms:created>
  <dcterms:modified xsi:type="dcterms:W3CDTF">2023-01-17T06:36:00Z</dcterms:modified>
</cp:coreProperties>
</file>